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C8" w:rsidRDefault="000600C8" w:rsidP="000600C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C8" w:rsidRDefault="000600C8" w:rsidP="0006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</w:t>
      </w:r>
    </w:p>
    <w:p w:rsidR="000600C8" w:rsidRDefault="00392D22" w:rsidP="00060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0600C8">
        <w:rPr>
          <w:b/>
          <w:sz w:val="28"/>
          <w:szCs w:val="28"/>
        </w:rPr>
        <w:t xml:space="preserve"> СЕЛЬСКОГО ПОСЕЛЕНИЯ</w:t>
      </w:r>
    </w:p>
    <w:p w:rsidR="000600C8" w:rsidRDefault="000600C8" w:rsidP="00060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600C8" w:rsidRDefault="000600C8" w:rsidP="000600C8">
      <w:pPr>
        <w:ind w:firstLine="708"/>
        <w:jc w:val="center"/>
        <w:rPr>
          <w:b/>
        </w:rPr>
      </w:pPr>
    </w:p>
    <w:p w:rsidR="00305651" w:rsidRDefault="007563BE" w:rsidP="0030565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5651" w:rsidRDefault="007563BE" w:rsidP="00305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01.03.2023                                                                                                                № 27</w:t>
      </w:r>
    </w:p>
    <w:p w:rsidR="00841361" w:rsidRDefault="00841361" w:rsidP="000600C8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41361" w:rsidRPr="007C00D2" w:rsidTr="000F096D">
        <w:tc>
          <w:tcPr>
            <w:tcW w:w="4786" w:type="dxa"/>
            <w:shd w:val="clear" w:color="auto" w:fill="auto"/>
          </w:tcPr>
          <w:p w:rsidR="00841361" w:rsidRPr="00A0050F" w:rsidRDefault="00841361" w:rsidP="000F096D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A0050F">
              <w:rPr>
                <w:bCs/>
                <w:sz w:val="28"/>
                <w:szCs w:val="28"/>
              </w:rPr>
              <w:t>О формировании фонда капитального</w:t>
            </w:r>
          </w:p>
          <w:p w:rsidR="00841361" w:rsidRPr="007C00D2" w:rsidRDefault="00841361" w:rsidP="000F096D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Ремонта в </w:t>
            </w:r>
            <w:r>
              <w:rPr>
                <w:sz w:val="28"/>
                <w:szCs w:val="28"/>
              </w:rPr>
              <w:t>отношении</w:t>
            </w:r>
            <w:r w:rsidRPr="00A0050F">
              <w:rPr>
                <w:bCs/>
                <w:sz w:val="28"/>
                <w:szCs w:val="28"/>
              </w:rPr>
              <w:t xml:space="preserve"> многоквартирных домов на счете некоммерческой организации «Региональный фонд капитального ремонта многоквартирных домов Смоленской области»</w:t>
            </w:r>
          </w:p>
        </w:tc>
      </w:tr>
    </w:tbl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361" w:rsidRDefault="00841361" w:rsidP="0075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E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7 </w:t>
      </w:r>
      <w:r w:rsidRPr="005A7ED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A7ED1">
        <w:rPr>
          <w:sz w:val="28"/>
          <w:szCs w:val="28"/>
        </w:rPr>
        <w:t xml:space="preserve"> 17</w:t>
      </w:r>
      <w:r>
        <w:rPr>
          <w:sz w:val="28"/>
          <w:szCs w:val="28"/>
        </w:rPr>
        <w:t>0</w:t>
      </w:r>
      <w:r w:rsidRPr="005A7ED1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>, статьей 7 областного закона от 31 октября 2013 года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  <w:r w:rsidR="007563BE">
        <w:rPr>
          <w:sz w:val="28"/>
          <w:szCs w:val="28"/>
        </w:rPr>
        <w:t xml:space="preserve">, Уставом </w:t>
      </w:r>
      <w:proofErr w:type="spellStart"/>
      <w:r w:rsidR="007563BE">
        <w:rPr>
          <w:sz w:val="28"/>
          <w:szCs w:val="28"/>
        </w:rPr>
        <w:t>Беленинского</w:t>
      </w:r>
      <w:proofErr w:type="spellEnd"/>
      <w:r w:rsidR="007563BE">
        <w:rPr>
          <w:sz w:val="28"/>
          <w:szCs w:val="28"/>
        </w:rPr>
        <w:t xml:space="preserve"> сельского поселения </w:t>
      </w:r>
      <w:proofErr w:type="spellStart"/>
      <w:r w:rsidR="007563BE">
        <w:rPr>
          <w:sz w:val="28"/>
          <w:szCs w:val="28"/>
        </w:rPr>
        <w:t>Сафоновского</w:t>
      </w:r>
      <w:proofErr w:type="spellEnd"/>
      <w:r w:rsidR="007563BE">
        <w:rPr>
          <w:sz w:val="28"/>
          <w:szCs w:val="28"/>
        </w:rPr>
        <w:t xml:space="preserve"> района Смоленской области,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57CDB" w:rsidRDefault="00557CDB" w:rsidP="00841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61" w:rsidRPr="00841361" w:rsidRDefault="00841361" w:rsidP="00841361">
      <w:pPr>
        <w:autoSpaceDE w:val="0"/>
        <w:autoSpaceDN w:val="0"/>
        <w:adjustRightInd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пост</w:t>
      </w:r>
      <w:r w:rsidR="00557CDB">
        <w:rPr>
          <w:b/>
          <w:sz w:val="40"/>
          <w:szCs w:val="40"/>
        </w:rPr>
        <w:t>ановляе</w:t>
      </w:r>
      <w:r w:rsidRPr="00841361">
        <w:rPr>
          <w:b/>
          <w:sz w:val="40"/>
          <w:szCs w:val="40"/>
        </w:rPr>
        <w:t>т:</w:t>
      </w:r>
    </w:p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361" w:rsidRPr="00557CDB" w:rsidRDefault="00841361" w:rsidP="0084136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7CDB">
        <w:rPr>
          <w:sz w:val="28"/>
          <w:szCs w:val="28"/>
        </w:rPr>
        <w:t>Формировать фонд капитального ремонта на счете некоммерческой организации «Региональный фонд капитального ремонта многоквартирных домов Смоленской области» в отношении многоквартирных домов, расположенных на территории</w:t>
      </w:r>
      <w:r w:rsidR="00557CDB" w:rsidRPr="00557CDB">
        <w:rPr>
          <w:sz w:val="28"/>
          <w:szCs w:val="28"/>
        </w:rPr>
        <w:t xml:space="preserve"> муниципального образования </w:t>
      </w:r>
      <w:proofErr w:type="spellStart"/>
      <w:r w:rsidR="00557CDB" w:rsidRPr="00557CDB">
        <w:rPr>
          <w:sz w:val="28"/>
          <w:szCs w:val="28"/>
        </w:rPr>
        <w:t>Беленинского</w:t>
      </w:r>
      <w:proofErr w:type="spellEnd"/>
      <w:r w:rsidR="00557CDB" w:rsidRPr="00557CDB">
        <w:rPr>
          <w:sz w:val="28"/>
          <w:szCs w:val="28"/>
        </w:rPr>
        <w:t xml:space="preserve"> сельского поселения</w:t>
      </w:r>
      <w:r w:rsidR="007563BE">
        <w:rPr>
          <w:sz w:val="28"/>
          <w:szCs w:val="28"/>
        </w:rPr>
        <w:t xml:space="preserve"> </w:t>
      </w:r>
      <w:proofErr w:type="spellStart"/>
      <w:r w:rsidR="007563BE">
        <w:rPr>
          <w:sz w:val="28"/>
          <w:szCs w:val="28"/>
        </w:rPr>
        <w:t>Сафоновского</w:t>
      </w:r>
      <w:proofErr w:type="spellEnd"/>
      <w:r w:rsidR="007563BE">
        <w:rPr>
          <w:sz w:val="28"/>
          <w:szCs w:val="28"/>
        </w:rPr>
        <w:t xml:space="preserve"> района Смоленской </w:t>
      </w:r>
      <w:proofErr w:type="gramStart"/>
      <w:r w:rsidR="007563BE">
        <w:rPr>
          <w:sz w:val="28"/>
          <w:szCs w:val="28"/>
        </w:rPr>
        <w:t>области</w:t>
      </w:r>
      <w:proofErr w:type="gramEnd"/>
      <w:r w:rsidR="00557CDB">
        <w:rPr>
          <w:sz w:val="28"/>
          <w:szCs w:val="28"/>
        </w:rPr>
        <w:t xml:space="preserve"> </w:t>
      </w:r>
      <w:r w:rsidRPr="00557CDB">
        <w:rPr>
          <w:sz w:val="28"/>
          <w:szCs w:val="28"/>
        </w:rPr>
        <w:t>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дня официального опубликования Региональной программы капитального ремонта общего имущества в многоквартирных домах, расположенных на территории См</w:t>
      </w:r>
      <w:r w:rsidR="007563BE">
        <w:rPr>
          <w:sz w:val="28"/>
          <w:szCs w:val="28"/>
        </w:rPr>
        <w:t>оленской области, на 2014 – 2055</w:t>
      </w:r>
      <w:r w:rsidRPr="00557CDB">
        <w:rPr>
          <w:sz w:val="28"/>
          <w:szCs w:val="28"/>
        </w:rPr>
        <w:t xml:space="preserve"> годы, утвержденной постановлением Администрации Смоленской области от 27 декабря 2013 года № 1145, в соответствии с перечнем согласно приложению</w:t>
      </w:r>
      <w:r w:rsidR="00385579">
        <w:rPr>
          <w:sz w:val="28"/>
          <w:szCs w:val="28"/>
        </w:rPr>
        <w:t xml:space="preserve"> 1</w:t>
      </w:r>
      <w:r w:rsidRPr="00557CDB">
        <w:rPr>
          <w:sz w:val="28"/>
          <w:szCs w:val="28"/>
        </w:rPr>
        <w:t>.</w:t>
      </w:r>
    </w:p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настоящего постановления некоммерческой организации «Региональный фонд капитального ремонта многоквартирных домов Смоленской области».</w:t>
      </w:r>
    </w:p>
    <w:p w:rsidR="00841361" w:rsidRDefault="00841361" w:rsidP="00841361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57C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1361" w:rsidRPr="008518FB" w:rsidRDefault="00841361" w:rsidP="0084136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5579" w:rsidRPr="009961A7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385579"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3855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5579" w:rsidRPr="0099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579" w:rsidRPr="009961A7">
        <w:rPr>
          <w:rFonts w:ascii="Times New Roman" w:hAnsi="Times New Roman"/>
          <w:sz w:val="28"/>
          <w:szCs w:val="28"/>
        </w:rPr>
        <w:t>Сафоновск</w:t>
      </w:r>
      <w:r w:rsidR="00385579">
        <w:rPr>
          <w:rFonts w:ascii="Times New Roman" w:hAnsi="Times New Roman"/>
          <w:sz w:val="28"/>
          <w:szCs w:val="28"/>
        </w:rPr>
        <w:t>ого</w:t>
      </w:r>
      <w:proofErr w:type="spellEnd"/>
      <w:r w:rsidR="00385579" w:rsidRPr="009961A7">
        <w:rPr>
          <w:rFonts w:ascii="Times New Roman" w:hAnsi="Times New Roman"/>
          <w:sz w:val="28"/>
          <w:szCs w:val="28"/>
        </w:rPr>
        <w:t xml:space="preserve"> район</w:t>
      </w:r>
      <w:r w:rsidR="00385579">
        <w:rPr>
          <w:rFonts w:ascii="Times New Roman" w:hAnsi="Times New Roman"/>
          <w:sz w:val="28"/>
          <w:szCs w:val="28"/>
        </w:rPr>
        <w:t>а</w:t>
      </w:r>
      <w:r w:rsidR="00385579" w:rsidRPr="009961A7">
        <w:rPr>
          <w:rFonts w:ascii="Times New Roman" w:hAnsi="Times New Roman"/>
          <w:sz w:val="28"/>
          <w:szCs w:val="28"/>
        </w:rPr>
        <w:t xml:space="preserve"> Смоленской области </w:t>
      </w:r>
      <w:hyperlink r:id="rId9" w:history="1">
        <w:r w:rsidR="00385579" w:rsidRPr="003835CD">
          <w:rPr>
            <w:rStyle w:val="a6"/>
            <w:rFonts w:ascii="Times New Roman" w:hAnsi="Times New Roman"/>
            <w:sz w:val="28"/>
            <w:szCs w:val="28"/>
          </w:rPr>
          <w:t>www.</w:t>
        </w:r>
        <w:r w:rsidR="00385579" w:rsidRPr="003835CD">
          <w:rPr>
            <w:rStyle w:val="a6"/>
            <w:rFonts w:ascii="Times New Roman" w:hAnsi="Times New Roman"/>
            <w:sz w:val="28"/>
            <w:szCs w:val="28"/>
            <w:lang w:val="en-US"/>
          </w:rPr>
          <w:t>belenino</w:t>
        </w:r>
        <w:r w:rsidR="00385579" w:rsidRPr="003835CD">
          <w:rPr>
            <w:rStyle w:val="a6"/>
            <w:rFonts w:ascii="Times New Roman" w:hAnsi="Times New Roman"/>
            <w:sz w:val="28"/>
            <w:szCs w:val="28"/>
          </w:rPr>
          <w:t>.admin-safonovo.ru</w:t>
        </w:r>
      </w:hyperlink>
      <w:r w:rsidR="00385579" w:rsidRPr="009961A7">
        <w:rPr>
          <w:rFonts w:ascii="Times New Roman" w:hAnsi="Times New Roman"/>
          <w:sz w:val="28"/>
          <w:szCs w:val="28"/>
        </w:rPr>
        <w:t>.</w:t>
      </w:r>
    </w:p>
    <w:p w:rsidR="00557CDB" w:rsidRDefault="00557CDB" w:rsidP="000600C8">
      <w:pPr>
        <w:jc w:val="center"/>
      </w:pPr>
    </w:p>
    <w:p w:rsidR="00557CDB" w:rsidRPr="00557CDB" w:rsidRDefault="00557CDB" w:rsidP="00557CDB"/>
    <w:p w:rsidR="00557CDB" w:rsidRPr="00557CDB" w:rsidRDefault="00557CDB" w:rsidP="00557CDB"/>
    <w:p w:rsidR="00557CDB" w:rsidRPr="00557CDB" w:rsidRDefault="00385579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557CDB" w:rsidRPr="00557C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557CDB" w:rsidRPr="00557CDB" w:rsidRDefault="00557CDB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57CDB"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 w:rsidRPr="00557CDB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57CDB" w:rsidRPr="00557CDB" w:rsidRDefault="00557CDB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57CDB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557CDB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  <w:r w:rsidRPr="00557CDB">
        <w:rPr>
          <w:rFonts w:eastAsia="Calibri"/>
          <w:sz w:val="28"/>
          <w:szCs w:val="28"/>
          <w:lang w:eastAsia="en-US"/>
        </w:rPr>
        <w:tab/>
      </w:r>
      <w:r w:rsidRPr="00557CDB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557CDB">
        <w:rPr>
          <w:rFonts w:eastAsia="Calibri"/>
          <w:sz w:val="28"/>
          <w:szCs w:val="28"/>
          <w:lang w:eastAsia="en-US"/>
        </w:rPr>
        <w:t>Л.В.</w:t>
      </w:r>
      <w:r w:rsidR="00C03FF2">
        <w:rPr>
          <w:rFonts w:eastAsia="Calibri"/>
          <w:sz w:val="28"/>
          <w:szCs w:val="28"/>
          <w:lang w:eastAsia="en-US"/>
        </w:rPr>
        <w:t xml:space="preserve"> </w:t>
      </w:r>
      <w:r w:rsidRPr="00557CDB">
        <w:rPr>
          <w:rFonts w:eastAsia="Calibri"/>
          <w:sz w:val="28"/>
          <w:szCs w:val="28"/>
          <w:lang w:eastAsia="en-US"/>
        </w:rPr>
        <w:t>Петрик</w:t>
      </w:r>
    </w:p>
    <w:p w:rsidR="00385579" w:rsidRDefault="00385579" w:rsidP="00557CDB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P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/>
    <w:p w:rsidR="00385579" w:rsidRDefault="00385579" w:rsidP="00385579">
      <w:r>
        <w:lastRenderedPageBreak/>
        <w:t xml:space="preserve">                                                                                                                             Приложение 1</w:t>
      </w:r>
    </w:p>
    <w:p w:rsidR="00385579" w:rsidRDefault="00385579" w:rsidP="00385579"/>
    <w:p w:rsidR="00385579" w:rsidRDefault="00385579" w:rsidP="00385579"/>
    <w:p w:rsidR="00385579" w:rsidRDefault="00385579" w:rsidP="00385579"/>
    <w:p w:rsidR="00385579" w:rsidRPr="00385579" w:rsidRDefault="00385579" w:rsidP="00385579">
      <w:pPr>
        <w:tabs>
          <w:tab w:val="left" w:pos="1065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r w:rsidRPr="00385579">
              <w:t xml:space="preserve">№ </w:t>
            </w:r>
            <w:proofErr w:type="gramStart"/>
            <w:r w:rsidRPr="00385579">
              <w:t>п</w:t>
            </w:r>
            <w:proofErr w:type="gramEnd"/>
            <w:r w:rsidRPr="00385579">
              <w:t>/п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ind w:left="-277" w:firstLine="277"/>
            </w:pPr>
            <w:r w:rsidRPr="00385579">
              <w:rPr>
                <w:sz w:val="22"/>
                <w:szCs w:val="22"/>
              </w:rPr>
              <w:t xml:space="preserve">                </w:t>
            </w:r>
            <w:r w:rsidRPr="00385579">
              <w:t>Адрес МКД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</w:pPr>
            <w:r w:rsidRPr="00385579">
              <w:t>Общая площадь дома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д.2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823,5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д.4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816,2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д.6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814,7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д.6а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664,1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д.8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655,7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Беленино</w:t>
            </w:r>
            <w:proofErr w:type="spellEnd"/>
            <w:r w:rsidRPr="00385579">
              <w:rPr>
                <w:sz w:val="22"/>
                <w:szCs w:val="22"/>
              </w:rPr>
              <w:t>, ул. Центральная  д.8а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605,7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д.1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499,2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д.2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471,1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д.3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501,5</w:t>
            </w:r>
          </w:p>
        </w:tc>
      </w:tr>
      <w:tr w:rsidR="00385579" w:rsidRPr="00385579" w:rsidTr="00385579">
        <w:trPr>
          <w:trHeight w:val="338"/>
        </w:trPr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д.4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819,5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д.5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829,8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д.6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820,1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д.7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774,0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д.8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834,4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д.9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818,3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д.10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1445,0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</w:t>
            </w:r>
            <w:proofErr w:type="spellStart"/>
            <w:r w:rsidRPr="00385579">
              <w:rPr>
                <w:sz w:val="22"/>
                <w:szCs w:val="22"/>
              </w:rPr>
              <w:t>Мишенино</w:t>
            </w:r>
            <w:proofErr w:type="spellEnd"/>
            <w:r w:rsidRPr="00385579">
              <w:rPr>
                <w:sz w:val="22"/>
                <w:szCs w:val="22"/>
              </w:rPr>
              <w:t>, ул. Молодежная  д.15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493,5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д.1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668,11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670,53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д.5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696,2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д.6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316,7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д.11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784,7</w:t>
            </w:r>
          </w:p>
        </w:tc>
      </w:tr>
      <w:tr w:rsidR="00385579" w:rsidRPr="00385579" w:rsidTr="00385579">
        <w:tc>
          <w:tcPr>
            <w:tcW w:w="709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385579" w:rsidRPr="00385579" w:rsidRDefault="00385579" w:rsidP="00385579">
            <w:pPr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 xml:space="preserve">д. Клинка, ул. </w:t>
            </w:r>
            <w:proofErr w:type="gramStart"/>
            <w:r w:rsidRPr="00385579">
              <w:rPr>
                <w:sz w:val="22"/>
                <w:szCs w:val="22"/>
              </w:rPr>
              <w:t>Школьная</w:t>
            </w:r>
            <w:proofErr w:type="gramEnd"/>
            <w:r w:rsidRPr="00385579">
              <w:rPr>
                <w:sz w:val="22"/>
                <w:szCs w:val="22"/>
              </w:rPr>
              <w:t xml:space="preserve">  д.13</w:t>
            </w:r>
          </w:p>
        </w:tc>
        <w:tc>
          <w:tcPr>
            <w:tcW w:w="4394" w:type="dxa"/>
            <w:shd w:val="clear" w:color="auto" w:fill="auto"/>
          </w:tcPr>
          <w:p w:rsidR="00385579" w:rsidRPr="00385579" w:rsidRDefault="00385579" w:rsidP="00385579">
            <w:pPr>
              <w:jc w:val="center"/>
              <w:rPr>
                <w:sz w:val="22"/>
                <w:szCs w:val="22"/>
              </w:rPr>
            </w:pPr>
            <w:r w:rsidRPr="00385579">
              <w:rPr>
                <w:sz w:val="22"/>
                <w:szCs w:val="22"/>
              </w:rPr>
              <w:t>984,12</w:t>
            </w:r>
          </w:p>
        </w:tc>
      </w:tr>
    </w:tbl>
    <w:p w:rsidR="00385579" w:rsidRPr="00385579" w:rsidRDefault="00385579" w:rsidP="00385579">
      <w:pPr>
        <w:rPr>
          <w:sz w:val="28"/>
          <w:szCs w:val="28"/>
        </w:rPr>
      </w:pPr>
    </w:p>
    <w:p w:rsidR="00385579" w:rsidRPr="00385579" w:rsidRDefault="00385579" w:rsidP="00385579">
      <w:pPr>
        <w:rPr>
          <w:sz w:val="28"/>
          <w:szCs w:val="28"/>
        </w:rPr>
      </w:pPr>
      <w:r w:rsidRPr="00385579">
        <w:rPr>
          <w:sz w:val="28"/>
          <w:szCs w:val="28"/>
        </w:rPr>
        <w:t>Многоквартирных домов, находящихся в государственной или муниципальной собственности нет.</w:t>
      </w:r>
    </w:p>
    <w:p w:rsidR="00BB7354" w:rsidRPr="00385579" w:rsidRDefault="00BB7354" w:rsidP="00385579">
      <w:pPr>
        <w:tabs>
          <w:tab w:val="left" w:pos="1065"/>
        </w:tabs>
      </w:pPr>
    </w:p>
    <w:sectPr w:rsidR="00BB7354" w:rsidRPr="00385579" w:rsidSect="000600C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6" w:rsidRDefault="00044896" w:rsidP="00385579">
      <w:r>
        <w:separator/>
      </w:r>
    </w:p>
  </w:endnote>
  <w:endnote w:type="continuationSeparator" w:id="0">
    <w:p w:rsidR="00044896" w:rsidRDefault="00044896" w:rsidP="003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6" w:rsidRDefault="00044896" w:rsidP="00385579">
      <w:r>
        <w:separator/>
      </w:r>
    </w:p>
  </w:footnote>
  <w:footnote w:type="continuationSeparator" w:id="0">
    <w:p w:rsidR="00044896" w:rsidRDefault="00044896" w:rsidP="0038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4DC"/>
    <w:multiLevelType w:val="hybridMultilevel"/>
    <w:tmpl w:val="9CE2F972"/>
    <w:lvl w:ilvl="0" w:tplc="892E43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5"/>
    <w:rsid w:val="00044896"/>
    <w:rsid w:val="000600C8"/>
    <w:rsid w:val="000F43E8"/>
    <w:rsid w:val="00123705"/>
    <w:rsid w:val="00136947"/>
    <w:rsid w:val="001A2965"/>
    <w:rsid w:val="00305651"/>
    <w:rsid w:val="00385579"/>
    <w:rsid w:val="00392D22"/>
    <w:rsid w:val="00557CDB"/>
    <w:rsid w:val="00603245"/>
    <w:rsid w:val="007563BE"/>
    <w:rsid w:val="007568FB"/>
    <w:rsid w:val="00841361"/>
    <w:rsid w:val="00A20A83"/>
    <w:rsid w:val="00B06E92"/>
    <w:rsid w:val="00B9640E"/>
    <w:rsid w:val="00B977C0"/>
    <w:rsid w:val="00BB5D11"/>
    <w:rsid w:val="00BB7354"/>
    <w:rsid w:val="00C03FF2"/>
    <w:rsid w:val="00C24312"/>
    <w:rsid w:val="00C9702B"/>
    <w:rsid w:val="00CD06C7"/>
    <w:rsid w:val="00DC1DBA"/>
    <w:rsid w:val="00E36EB6"/>
    <w:rsid w:val="00EB43BA"/>
    <w:rsid w:val="00E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13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57CDB"/>
    <w:pPr>
      <w:ind w:left="720"/>
      <w:contextualSpacing/>
    </w:pPr>
  </w:style>
  <w:style w:type="character" w:styleId="a6">
    <w:name w:val="Hyperlink"/>
    <w:rsid w:val="003855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5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5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13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57CDB"/>
    <w:pPr>
      <w:ind w:left="720"/>
      <w:contextualSpacing/>
    </w:pPr>
  </w:style>
  <w:style w:type="character" w:styleId="a6">
    <w:name w:val="Hyperlink"/>
    <w:rsid w:val="003855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5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5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enino.admin-safo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2023-03-01T12:14:00Z</cp:lastPrinted>
  <dcterms:created xsi:type="dcterms:W3CDTF">2023-03-01T12:23:00Z</dcterms:created>
  <dcterms:modified xsi:type="dcterms:W3CDTF">2023-03-01T12:23:00Z</dcterms:modified>
</cp:coreProperties>
</file>